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采购需求</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前注：</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color w:val="000000" w:themeColor="text1"/>
          <w:sz w:val="24"/>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pPr>
        <w:spacing w:line="360" w:lineRule="auto"/>
        <w:ind w:firstLine="482" w:firstLineChars="200"/>
        <w:rPr>
          <w:rFonts w:ascii="宋体" w:hAnsi="宋体"/>
          <w:b/>
          <w:color w:val="000000" w:themeColor="text1"/>
          <w:sz w:val="24"/>
          <w:szCs w:val="18"/>
          <w14:textFill>
            <w14:solidFill>
              <w14:schemeClr w14:val="tx1"/>
            </w14:solidFill>
          </w14:textFill>
        </w:rPr>
      </w:pPr>
      <w:r>
        <w:rPr>
          <w:rFonts w:hint="eastAsia" w:ascii="宋体" w:hAnsi="宋体"/>
          <w:b/>
          <w:color w:val="000000" w:themeColor="text1"/>
          <w:sz w:val="24"/>
          <w:szCs w:val="18"/>
          <w14:textFill>
            <w14:solidFill>
              <w14:schemeClr w14:val="tx1"/>
            </w14:solidFill>
          </w14:textFill>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8"/>
              <w:pBdr>
                <w:bottom w:val="none" w:color="auto" w:sz="0" w:space="0"/>
              </w:pBdr>
              <w:tabs>
                <w:tab w:val="clear" w:pos="4153"/>
                <w:tab w:val="clear" w:pos="8306"/>
              </w:tabs>
              <w:adjustRightInd/>
              <w:spacing w:line="240" w:lineRule="auto"/>
              <w:textAlignment w:val="auto"/>
              <w:rPr>
                <w:rFonts w:ascii="宋体" w:hAnsi="宋体"/>
                <w:b/>
                <w:color w:val="000000" w:themeColor="text1"/>
                <w:kern w:val="2"/>
                <w14:textFill>
                  <w14:solidFill>
                    <w14:schemeClr w14:val="tx1"/>
                  </w14:solidFill>
                </w14:textFill>
              </w:rPr>
            </w:pPr>
            <w:r>
              <w:rPr>
                <w:rFonts w:hint="eastAsia" w:ascii="宋体" w:hAnsi="宋体"/>
                <w:b/>
                <w:color w:val="000000" w:themeColor="text1"/>
                <w:kern w:val="2"/>
                <w14:textFill>
                  <w14:solidFill>
                    <w14:schemeClr w14:val="tx1"/>
                  </w14:solidFill>
                </w14:textFill>
              </w:rPr>
              <w:t>序号</w:t>
            </w:r>
          </w:p>
        </w:tc>
        <w:tc>
          <w:tcPr>
            <w:tcW w:w="1192" w:type="pct"/>
            <w:vAlign w:val="center"/>
          </w:tcPr>
          <w:p>
            <w:pPr>
              <w:pStyle w:val="9"/>
              <w:widowControl w:val="0"/>
              <w:spacing w:before="0" w:beforeAutospacing="0" w:after="0" w:afterAutospacing="0" w:line="360" w:lineRule="auto"/>
              <w:rPr>
                <w:rFonts w:ascii="宋体" w:hAnsi="宋体"/>
                <w:bCs w:val="0"/>
                <w:color w:val="000000" w:themeColor="text1"/>
                <w:sz w:val="24"/>
                <w14:textFill>
                  <w14:solidFill>
                    <w14:schemeClr w14:val="tx1"/>
                  </w14:solidFill>
                </w14:textFill>
              </w:rPr>
            </w:pPr>
            <w:r>
              <w:rPr>
                <w:rFonts w:hint="eastAsia" w:ascii="宋体" w:hAnsi="宋体"/>
                <w:bCs w:val="0"/>
                <w:color w:val="000000" w:themeColor="text1"/>
                <w:sz w:val="24"/>
                <w14:textFill>
                  <w14:solidFill>
                    <w14:schemeClr w14:val="tx1"/>
                  </w14:solidFill>
                </w14:textFill>
              </w:rPr>
              <w:t>条款名称</w:t>
            </w:r>
          </w:p>
        </w:tc>
        <w:tc>
          <w:tcPr>
            <w:tcW w:w="3217" w:type="pct"/>
            <w:vAlign w:val="center"/>
          </w:tcPr>
          <w:p>
            <w:pPr>
              <w:pStyle w:val="9"/>
              <w:widowControl w:val="0"/>
              <w:spacing w:before="0" w:beforeAutospacing="0" w:after="0" w:afterAutospacing="0" w:line="360" w:lineRule="auto"/>
              <w:rPr>
                <w:rFonts w:ascii="宋体" w:hAnsi="宋体"/>
                <w:bCs w:val="0"/>
                <w:color w:val="000000" w:themeColor="text1"/>
                <w:sz w:val="24"/>
                <w14:textFill>
                  <w14:solidFill>
                    <w14:schemeClr w14:val="tx1"/>
                  </w14:solidFill>
                </w14:textFill>
              </w:rPr>
            </w:pPr>
            <w:r>
              <w:rPr>
                <w:rFonts w:hint="eastAsia" w:ascii="宋体" w:hAnsi="宋体"/>
                <w:bCs w:val="0"/>
                <w:color w:val="000000" w:themeColor="text1"/>
                <w:sz w:val="24"/>
                <w14:textFill>
                  <w14:solidFill>
                    <w14:schemeClr w14:val="tx1"/>
                  </w14:solidFill>
                </w14:textFill>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8"/>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192" w:type="pct"/>
            <w:vAlign w:val="center"/>
          </w:tcPr>
          <w:p>
            <w:pPr>
              <w:pStyle w:val="9"/>
              <w:widowControl w:val="0"/>
              <w:spacing w:before="0" w:beforeAutospacing="0" w:after="0" w:afterAutospacing="0" w:line="360" w:lineRule="auto"/>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付款方式</w:t>
            </w:r>
          </w:p>
        </w:tc>
        <w:tc>
          <w:tcPr>
            <w:tcW w:w="3217" w:type="pct"/>
            <w:vAlign w:val="center"/>
          </w:tcPr>
          <w:p>
            <w:pPr>
              <w:pStyle w:val="9"/>
              <w:widowControl w:val="0"/>
              <w:numPr>
                <w:ilvl w:val="0"/>
                <w:numId w:val="1"/>
              </w:numPr>
              <w:spacing w:before="0" w:beforeAutospacing="0" w:after="0" w:afterAutospacing="0" w:line="360" w:lineRule="auto"/>
              <w:jc w:val="both"/>
              <w:rPr>
                <w:rFonts w:ascii="宋体" w:hAnsi="宋体" w:cs="宋体"/>
                <w:b w:val="0"/>
                <w:bCs w:val="0"/>
                <w:color w:val="auto"/>
                <w:sz w:val="24"/>
                <w:szCs w:val="24"/>
              </w:rPr>
            </w:pPr>
            <w:r>
              <w:rPr>
                <w:rFonts w:ascii="宋体" w:hAnsi="宋体" w:cs="宋体"/>
                <w:b w:val="0"/>
                <w:bCs w:val="0"/>
                <w:color w:val="auto"/>
                <w:sz w:val="24"/>
                <w:szCs w:val="24"/>
              </w:rPr>
              <w:t>监理服务费</w:t>
            </w:r>
            <w:r>
              <w:rPr>
                <w:rFonts w:hint="eastAsia" w:ascii="宋体" w:hAnsi="宋体" w:cs="宋体"/>
                <w:b w:val="0"/>
                <w:bCs w:val="0"/>
                <w:color w:val="auto"/>
                <w:sz w:val="24"/>
                <w:szCs w:val="24"/>
              </w:rPr>
              <w:t>首月</w:t>
            </w:r>
            <w:r>
              <w:rPr>
                <w:rFonts w:ascii="宋体" w:hAnsi="宋体" w:cs="宋体"/>
                <w:b w:val="0"/>
                <w:bCs w:val="0"/>
                <w:color w:val="auto"/>
                <w:sz w:val="24"/>
                <w:szCs w:val="24"/>
              </w:rPr>
              <w:t>支付</w:t>
            </w:r>
            <w:r>
              <w:rPr>
                <w:rFonts w:hint="eastAsia" w:ascii="宋体" w:hAnsi="宋体" w:cs="宋体"/>
                <w:b w:val="0"/>
                <w:bCs w:val="0"/>
                <w:color w:val="auto"/>
                <w:sz w:val="24"/>
                <w:szCs w:val="24"/>
                <w:lang w:val="en-US" w:eastAsia="zh-CN"/>
              </w:rPr>
              <w:t>暂定</w:t>
            </w:r>
            <w:r>
              <w:rPr>
                <w:rFonts w:ascii="宋体" w:hAnsi="宋体" w:cs="宋体"/>
                <w:b w:val="0"/>
                <w:bCs w:val="0"/>
                <w:color w:val="auto"/>
                <w:sz w:val="24"/>
                <w:szCs w:val="24"/>
              </w:rPr>
              <w:t>合同金额的</w:t>
            </w:r>
            <w:r>
              <w:rPr>
                <w:rFonts w:hint="eastAsia" w:ascii="宋体" w:hAnsi="宋体" w:cs="宋体"/>
                <w:b w:val="0"/>
                <w:bCs w:val="0"/>
                <w:color w:val="auto"/>
                <w:sz w:val="24"/>
                <w:szCs w:val="24"/>
              </w:rPr>
              <w:t>30%（按控制价金额测算）</w:t>
            </w:r>
            <w:r>
              <w:rPr>
                <w:rFonts w:ascii="宋体" w:hAnsi="宋体" w:cs="宋体"/>
                <w:b w:val="0"/>
                <w:bCs w:val="0"/>
                <w:color w:val="auto"/>
                <w:sz w:val="24"/>
                <w:szCs w:val="24"/>
              </w:rPr>
              <w:t xml:space="preserve">。 </w:t>
            </w:r>
          </w:p>
          <w:p>
            <w:pPr>
              <w:pStyle w:val="9"/>
              <w:widowControl w:val="0"/>
              <w:numPr>
                <w:ilvl w:val="0"/>
                <w:numId w:val="1"/>
              </w:numPr>
              <w:spacing w:before="0" w:beforeAutospacing="0" w:after="0" w:afterAutospacing="0" w:line="360" w:lineRule="auto"/>
              <w:jc w:val="both"/>
              <w:rPr>
                <w:rFonts w:ascii="宋体" w:hAnsi="宋体" w:cs="宋体"/>
                <w:b w:val="0"/>
                <w:bCs w:val="0"/>
                <w:color w:val="auto"/>
                <w:sz w:val="24"/>
                <w:szCs w:val="24"/>
              </w:rPr>
            </w:pPr>
            <w:r>
              <w:rPr>
                <w:rFonts w:ascii="宋体" w:hAnsi="宋体" w:cs="宋体"/>
                <w:b w:val="0"/>
                <w:bCs w:val="0"/>
                <w:color w:val="auto"/>
                <w:sz w:val="24"/>
                <w:szCs w:val="24"/>
              </w:rPr>
              <w:t>监理服务费</w:t>
            </w:r>
            <w:r>
              <w:rPr>
                <w:rFonts w:hint="eastAsia" w:ascii="宋体" w:hAnsi="宋体" w:cs="宋体"/>
                <w:b w:val="0"/>
                <w:bCs w:val="0"/>
                <w:color w:val="auto"/>
                <w:sz w:val="24"/>
                <w:szCs w:val="24"/>
              </w:rPr>
              <w:t>次月</w:t>
            </w:r>
            <w:r>
              <w:rPr>
                <w:rFonts w:ascii="宋体" w:hAnsi="宋体" w:cs="宋体"/>
                <w:b w:val="0"/>
                <w:bCs w:val="0"/>
                <w:color w:val="auto"/>
                <w:sz w:val="24"/>
                <w:szCs w:val="24"/>
              </w:rPr>
              <w:t>支付</w:t>
            </w:r>
            <w:r>
              <w:rPr>
                <w:rFonts w:hint="eastAsia" w:ascii="宋体" w:hAnsi="宋体" w:cs="宋体"/>
                <w:b w:val="0"/>
                <w:bCs w:val="0"/>
                <w:color w:val="auto"/>
                <w:sz w:val="24"/>
                <w:szCs w:val="24"/>
                <w:lang w:val="en-US" w:eastAsia="zh-CN"/>
              </w:rPr>
              <w:t>暂定</w:t>
            </w:r>
            <w:r>
              <w:rPr>
                <w:rFonts w:ascii="宋体" w:hAnsi="宋体" w:cs="宋体"/>
                <w:b w:val="0"/>
                <w:bCs w:val="0"/>
                <w:color w:val="auto"/>
                <w:sz w:val="24"/>
                <w:szCs w:val="24"/>
              </w:rPr>
              <w:t>合同金额的</w:t>
            </w:r>
            <w:r>
              <w:rPr>
                <w:rFonts w:hint="eastAsia" w:ascii="宋体" w:hAnsi="宋体" w:cs="宋体"/>
                <w:b w:val="0"/>
                <w:bCs w:val="0"/>
                <w:color w:val="auto"/>
                <w:sz w:val="24"/>
                <w:szCs w:val="24"/>
              </w:rPr>
              <w:t>30%（按控制价金额测算）</w:t>
            </w:r>
            <w:r>
              <w:rPr>
                <w:rFonts w:ascii="宋体" w:hAnsi="宋体" w:cs="宋体"/>
                <w:b w:val="0"/>
                <w:bCs w:val="0"/>
                <w:color w:val="auto"/>
                <w:sz w:val="24"/>
                <w:szCs w:val="24"/>
              </w:rPr>
              <w:t xml:space="preserve">。 </w:t>
            </w:r>
          </w:p>
          <w:p>
            <w:pPr>
              <w:pStyle w:val="9"/>
              <w:widowControl w:val="0"/>
              <w:numPr>
                <w:ilvl w:val="0"/>
                <w:numId w:val="0"/>
              </w:numPr>
              <w:spacing w:before="0" w:beforeAutospacing="0" w:after="0" w:afterAutospacing="0" w:line="360" w:lineRule="auto"/>
              <w:ind w:leftChars="0"/>
              <w:jc w:val="both"/>
              <w:rPr>
                <w:rFonts w:ascii="宋体" w:hAnsi="宋体"/>
                <w:b w:val="0"/>
                <w:color w:val="000000" w:themeColor="text1"/>
                <w:sz w:val="24"/>
                <w:u w:val="single"/>
                <w14:textFill>
                  <w14:solidFill>
                    <w14:schemeClr w14:val="tx1"/>
                  </w14:solidFill>
                </w14:textFill>
              </w:rPr>
            </w:pPr>
            <w:r>
              <w:rPr>
                <w:rFonts w:ascii="宋体" w:hAnsi="宋体" w:cs="宋体"/>
                <w:b w:val="0"/>
                <w:bCs w:val="0"/>
                <w:color w:val="auto"/>
                <w:sz w:val="24"/>
                <w:szCs w:val="24"/>
              </w:rPr>
              <w:t>（3）竣工验收合格、办理完工程结算及竣工资料，经审</w:t>
            </w:r>
            <w:r>
              <w:rPr>
                <w:rFonts w:hint="eastAsia" w:ascii="宋体" w:hAnsi="宋体" w:cs="宋体"/>
                <w:b w:val="0"/>
                <w:bCs w:val="0"/>
                <w:color w:val="auto"/>
                <w:sz w:val="24"/>
                <w:szCs w:val="24"/>
              </w:rPr>
              <w:t>核后</w:t>
            </w:r>
            <w:r>
              <w:rPr>
                <w:rFonts w:ascii="宋体" w:hAnsi="宋体" w:cs="宋体"/>
                <w:b w:val="0"/>
                <w:bCs w:val="0"/>
                <w:color w:val="auto"/>
                <w:sz w:val="24"/>
                <w:szCs w:val="24"/>
              </w:rPr>
              <w:t>付至工程结算价的</w:t>
            </w:r>
            <w:r>
              <w:rPr>
                <w:rFonts w:hint="eastAsia" w:ascii="宋体" w:hAnsi="宋体" w:cs="宋体"/>
                <w:b w:val="0"/>
                <w:bCs w:val="0"/>
                <w:color w:val="auto"/>
                <w:sz w:val="24"/>
                <w:szCs w:val="24"/>
              </w:rPr>
              <w:t>100</w:t>
            </w:r>
            <w:r>
              <w:rPr>
                <w:rFonts w:ascii="宋体" w:hAnsi="宋体" w:cs="宋体"/>
                <w:b w:val="0"/>
                <w:bCs w:val="0"/>
                <w:color w:val="auto"/>
                <w:sz w:val="24"/>
                <w:szCs w:val="24"/>
              </w:rPr>
              <w:t>％</w:t>
            </w:r>
            <w:r>
              <w:rPr>
                <w:rFonts w:hint="eastAsia" w:ascii="宋体" w:hAnsi="宋体" w:cs="宋体"/>
                <w:b w:val="0"/>
                <w:bCs w:val="0"/>
                <w:color w:val="auto"/>
                <w:sz w:val="24"/>
                <w:szCs w:val="24"/>
              </w:rPr>
              <w:t>，</w:t>
            </w:r>
            <w:r>
              <w:rPr>
                <w:rFonts w:ascii="宋体" w:hAnsi="宋体"/>
                <w:b w:val="0"/>
                <w:color w:val="auto"/>
                <w:sz w:val="24"/>
                <w:u w:val="single"/>
              </w:rPr>
              <w:t>监理延期服务费用不予考虑。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8"/>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2</w:t>
            </w:r>
          </w:p>
        </w:tc>
        <w:tc>
          <w:tcPr>
            <w:tcW w:w="1192" w:type="pct"/>
            <w:vAlign w:val="center"/>
          </w:tcPr>
          <w:p>
            <w:pPr>
              <w:pStyle w:val="9"/>
              <w:widowControl w:val="0"/>
              <w:spacing w:before="0" w:beforeAutospacing="0" w:after="0" w:afterAutospacing="0" w:line="360" w:lineRule="auto"/>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服务地点</w:t>
            </w:r>
          </w:p>
        </w:tc>
        <w:tc>
          <w:tcPr>
            <w:tcW w:w="3217" w:type="pct"/>
            <w:vAlign w:val="center"/>
          </w:tcPr>
          <w:p>
            <w:pPr>
              <w:pStyle w:val="9"/>
              <w:widowControl w:val="0"/>
              <w:spacing w:before="0" w:beforeAutospacing="0" w:after="0" w:afterAutospacing="0" w:line="360" w:lineRule="auto"/>
              <w:jc w:val="both"/>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庐阳区，采购人指定地点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8"/>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3</w:t>
            </w:r>
          </w:p>
        </w:tc>
        <w:tc>
          <w:tcPr>
            <w:tcW w:w="1192" w:type="pct"/>
            <w:vAlign w:val="center"/>
          </w:tcPr>
          <w:p>
            <w:pPr>
              <w:pStyle w:val="9"/>
              <w:widowControl w:val="0"/>
              <w:spacing w:before="0" w:beforeAutospacing="0" w:after="0" w:afterAutospacing="0" w:line="360" w:lineRule="auto"/>
              <w:rPr>
                <w:rFonts w:ascii="宋体" w:hAnsi="宋体"/>
                <w:b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服务期限</w:t>
            </w:r>
          </w:p>
        </w:tc>
        <w:tc>
          <w:tcPr>
            <w:tcW w:w="3217" w:type="pct"/>
            <w:vAlign w:val="center"/>
          </w:tcPr>
          <w:p>
            <w:pPr>
              <w:pStyle w:val="9"/>
              <w:widowControl w:val="0"/>
              <w:spacing w:before="0" w:beforeAutospacing="0" w:after="0" w:afterAutospacing="0" w:line="360" w:lineRule="auto"/>
              <w:jc w:val="both"/>
              <w:rPr>
                <w:rFonts w:hint="eastAsia" w:ascii="宋体" w:hAnsi="宋体"/>
                <w:b w:val="0"/>
                <w:color w:val="FF0000"/>
                <w:sz w:val="24"/>
                <w:u w:val="single"/>
              </w:rPr>
            </w:pPr>
            <w:r>
              <w:rPr>
                <w:rFonts w:hint="eastAsia" w:ascii="宋体" w:hAnsi="宋体"/>
                <w:b w:val="0"/>
                <w:color w:val="auto"/>
                <w:sz w:val="24"/>
                <w:u w:val="single"/>
              </w:rPr>
              <w:t>自监理合同签订之日起至工程缺陷责任期满止（包括招标准备阶段、施工阶段、竣工验收备案、移交、缺陷责任期等，暂定约</w:t>
            </w:r>
            <w:r>
              <w:rPr>
                <w:rFonts w:hint="eastAsia" w:ascii="宋体" w:hAnsi="宋体"/>
                <w:b w:val="0"/>
                <w:color w:val="auto"/>
                <w:sz w:val="24"/>
                <w:u w:val="single"/>
                <w:lang w:val="en-US" w:eastAsia="zh-CN"/>
              </w:rPr>
              <w:t>60</w:t>
            </w:r>
            <w:r>
              <w:rPr>
                <w:rFonts w:ascii="宋体" w:hAnsi="宋体"/>
                <w:b w:val="0"/>
                <w:color w:val="auto"/>
                <w:sz w:val="24"/>
                <w:u w:val="single"/>
              </w:rPr>
              <w:t>日历天），若因工程建设需要延长工程监理服务期的，中标人不得因工程监理服务期延长而增加工程监理服务费。</w:t>
            </w:r>
          </w:p>
        </w:tc>
      </w:tr>
    </w:tbl>
    <w:p>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一、项目概况：</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中科智能育种加速器位于三十岗乡</w:t>
      </w:r>
      <w:r>
        <w:rPr>
          <w:rFonts w:hint="eastAsia" w:asciiTheme="minorEastAsia" w:hAnsiTheme="minorEastAsia" w:eastAsiaTheme="minorEastAsia"/>
          <w:color w:val="000000" w:themeColor="text1"/>
          <w:sz w:val="24"/>
          <w:lang w:val="en-US" w:eastAsia="zh-CN"/>
          <w14:textFill>
            <w14:solidFill>
              <w14:schemeClr w14:val="tx1"/>
            </w14:solidFill>
          </w14:textFill>
        </w:rPr>
        <w:t>威</w:t>
      </w:r>
      <w:r>
        <w:rPr>
          <w:rFonts w:hint="eastAsia" w:asciiTheme="minorEastAsia" w:hAnsiTheme="minorEastAsia" w:eastAsiaTheme="minorEastAsia"/>
          <w:color w:val="000000" w:themeColor="text1"/>
          <w:sz w:val="24"/>
          <w14:textFill>
            <w14:solidFill>
              <w14:schemeClr w14:val="tx1"/>
            </w14:solidFill>
          </w14:textFill>
        </w:rPr>
        <w:t>武路与吴王路交叉口清雅苑</w:t>
      </w:r>
      <w:r>
        <w:rPr>
          <w:rFonts w:asciiTheme="minorEastAsia" w:hAnsiTheme="minorEastAsia" w:eastAsiaTheme="minorEastAsia"/>
          <w:color w:val="000000" w:themeColor="text1"/>
          <w:sz w:val="24"/>
          <w14:textFill>
            <w14:solidFill>
              <w14:schemeClr w14:val="tx1"/>
            </w14:solidFill>
          </w14:textFill>
        </w:rPr>
        <w:t>4号</w:t>
      </w:r>
      <w:r>
        <w:rPr>
          <w:rFonts w:hint="eastAsia" w:asciiTheme="minorEastAsia" w:hAnsiTheme="minorEastAsia" w:eastAsiaTheme="minorEastAsia"/>
          <w:color w:val="000000" w:themeColor="text1"/>
          <w:sz w:val="24"/>
          <w14:textFill>
            <w14:solidFill>
              <w14:schemeClr w14:val="tx1"/>
            </w14:solidFill>
          </w14:textFill>
        </w:rPr>
        <w:t>商业楼</w:t>
      </w:r>
      <w:r>
        <w:rPr>
          <w:rFonts w:asciiTheme="minorEastAsia" w:hAnsiTheme="minorEastAsia" w:eastAsiaTheme="minorEastAsia"/>
          <w:color w:val="000000" w:themeColor="text1"/>
          <w:sz w:val="24"/>
          <w14:textFill>
            <w14:solidFill>
              <w14:schemeClr w14:val="tx1"/>
            </w14:solidFill>
          </w14:textFill>
        </w:rPr>
        <w:t>楼，本次工程主要为项目改造施工工程，主要建设内容为该楼宇包括但不限于外立面改造、屋面改造、地下室改造、地面停车场改造、结构加固、内部装饰改造（含卫生间改造、水电改造、消防改造、智能化改造）室外雨污水改造、路面改造及景观提升、标牌设计及安装等。</w:t>
      </w:r>
      <w:r>
        <w:rPr>
          <w:rFonts w:hint="eastAsia" w:asciiTheme="minorEastAsia" w:hAnsiTheme="minorEastAsia" w:eastAsiaTheme="minorEastAsia"/>
          <w:color w:val="000000" w:themeColor="text1"/>
          <w:sz w:val="24"/>
          <w14:textFill>
            <w14:solidFill>
              <w14:schemeClr w14:val="tx1"/>
            </w14:solidFill>
          </w14:textFill>
        </w:rPr>
        <w:t>项目总投资预算为950万元。</w:t>
      </w:r>
    </w:p>
    <w:p>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二、服务需求</w:t>
      </w:r>
      <w:r>
        <w:rPr>
          <w:rFonts w:asciiTheme="minorEastAsia" w:hAnsiTheme="minorEastAsia" w:eastAsiaTheme="minorEastAsia"/>
          <w:b/>
          <w:bCs/>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投标人必须有良好的社会信誉，具有改造建设的工程监理经验，具备相应监理技术装备及监理技术。</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各投标人必须按本工程的特点，认真阅读招标文件内容，按照招标文件要求编写投标文件及工程监理大纲，其内容必须详尽。</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投标人须具备保证施工质量的监理管理体系。</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承担本工程施工监理的监理机构须进驻现场，总监理工程师必须常驻现场，每周不少于</w:t>
      </w:r>
      <w:r>
        <w:rPr>
          <w:rFonts w:asciiTheme="minorEastAsia" w:hAnsiTheme="minorEastAsia" w:eastAsiaTheme="minorEastAsia"/>
          <w:color w:val="000000" w:themeColor="text1"/>
          <w:sz w:val="24"/>
          <w14:textFill>
            <w14:solidFill>
              <w14:schemeClr w14:val="tx1"/>
            </w14:solidFill>
          </w14:textFill>
        </w:rPr>
        <w:t xml:space="preserve"> 4 </w:t>
      </w:r>
      <w:r>
        <w:rPr>
          <w:rFonts w:hint="eastAsia" w:asciiTheme="minorEastAsia" w:hAnsiTheme="minorEastAsia" w:eastAsiaTheme="minorEastAsia"/>
          <w:color w:val="000000" w:themeColor="text1"/>
          <w:sz w:val="24"/>
          <w14:textFill>
            <w14:solidFill>
              <w14:schemeClr w14:val="tx1"/>
            </w14:solidFill>
          </w14:textFill>
        </w:rPr>
        <w:t>天。其他监理人员</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含总监</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出勤率为</w:t>
      </w:r>
      <w:r>
        <w:rPr>
          <w:rFonts w:asciiTheme="minorEastAsia" w:hAnsiTheme="minorEastAsia" w:eastAsiaTheme="minorEastAsia"/>
          <w:color w:val="000000" w:themeColor="text1"/>
          <w:sz w:val="24"/>
          <w14:textFill>
            <w14:solidFill>
              <w14:schemeClr w14:val="tx1"/>
            </w14:solidFill>
          </w14:textFill>
        </w:rPr>
        <w:t xml:space="preserve"> 100%</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投标人应自行前往现场进行踏勘，对建设场地的地理位置、施工现场的一切情况和影响施</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的因素以及困难条件进行周密的察勘和研究，作出自己的判断结论和估价，报价时要充分考虑上述因素。中标后签订监理合同时和实施监理过程中，投标人不得以不完全了解现场情况为由，提出任何形式的增加监理服务收费用的要求。</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投标人的驻地、仪器、设备与服务设施、交通、通讯等符合业务的要求</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投标人自行负</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责驻地建设，应为监理人员提供通讯、交通、食宿、仪器、设备等设施条件，其费用包含在投</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标报价中。</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承担本工程施工监理的监理机构须进驻现场，总监代表、专业监理工程师、监理员必须常驻现场，每月不少于</w:t>
      </w:r>
      <w:r>
        <w:rPr>
          <w:rFonts w:asciiTheme="minorEastAsia" w:hAnsiTheme="minorEastAsia" w:eastAsiaTheme="minorEastAsia"/>
          <w:color w:val="000000" w:themeColor="text1"/>
          <w:sz w:val="24"/>
          <w14:textFill>
            <w14:solidFill>
              <w14:schemeClr w14:val="tx1"/>
            </w14:solidFill>
          </w14:textFill>
        </w:rPr>
        <w:t xml:space="preserve"> 22 </w:t>
      </w:r>
      <w:r>
        <w:rPr>
          <w:rFonts w:hint="eastAsia" w:asciiTheme="minorEastAsia" w:hAnsiTheme="minorEastAsia" w:eastAsiaTheme="minorEastAsia"/>
          <w:color w:val="000000" w:themeColor="text1"/>
          <w:sz w:val="24"/>
          <w14:textFill>
            <w14:solidFill>
              <w14:schemeClr w14:val="tx1"/>
            </w14:solidFill>
          </w14:textFill>
        </w:rPr>
        <w:t>天。由项目总监理工程师负责对项目部所有监理人员出勤考勤，业主单位将对项目监理部考勤情况进行不定期抽查。</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经抽查连续两次考勤不合格的，业主有权进行处罚，直至清退出场</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并记入不良行为记录。</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本项目监理机构的所有监理人员均应专业对口或具有与其岗位工作相适应的工作经历，并且所有监理人员均须有执业证书或上岗证书</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具有作风正派、廉洁奉公、吃苦耐劳、认真负责的品质。</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在建设过程中，中标人必须按招标文件规定配备专业人员，承诺配备的所有人员均应及时到位，未经招标人同意，中标人不得擅自更换或者减少上述人员。根据现场施工情况，保证监理人员每天到场数量，招标人有权根据监理现场人员到位情况，要求其增加专业人员，监理单位必须服从，否则，视同中标人违约，招标人有权中止合同履行。监理公司不得擅自更换总监理工程师，如确要更换，应提前</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日书面报告招标人，更换的总监理工程师的资格、阅历及经验等不得低于更换前的总监理工程师，且经业主方面试合格并经审批同意后方可办理更换。</w:t>
      </w:r>
    </w:p>
    <w:p>
      <w:pPr>
        <w:spacing w:line="360" w:lineRule="auto"/>
        <w:ind w:firstLine="480" w:firstLineChars="200"/>
        <w:rPr>
          <w:rFonts w:asciiTheme="minorEastAsia" w:hAnsiTheme="minorEastAsia" w:eastAsiaTheme="minorEastAsia"/>
          <w:color w:val="000000" w:themeColor="text1"/>
          <w:sz w:val="24"/>
          <w:highlight w:val="yellow"/>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中标人应按照招标文件人员资格要求配备监理人员，所配备监理人员需在合同签订前报</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业主单位审核同意，所配监理人员施工过程中不予变更，确需变更，应提前</w:t>
      </w:r>
      <w:r>
        <w:rPr>
          <w:rFonts w:asciiTheme="minorEastAsia" w:hAnsiTheme="minorEastAsia" w:eastAsiaTheme="minorEastAsia"/>
          <w:color w:val="000000" w:themeColor="text1"/>
          <w:sz w:val="24"/>
          <w14:textFill>
            <w14:solidFill>
              <w14:schemeClr w14:val="tx1"/>
            </w14:solidFill>
          </w14:textFill>
        </w:rPr>
        <w:t xml:space="preserve"> 10 </w:t>
      </w:r>
      <w:r>
        <w:rPr>
          <w:rFonts w:hint="eastAsia" w:asciiTheme="minorEastAsia" w:hAnsiTheme="minorEastAsia" w:eastAsiaTheme="minorEastAsia"/>
          <w:color w:val="000000" w:themeColor="text1"/>
          <w:sz w:val="24"/>
          <w14:textFill>
            <w14:solidFill>
              <w14:schemeClr w14:val="tx1"/>
            </w14:solidFill>
          </w14:textFill>
        </w:rPr>
        <w:t>日书面报告招标人，更换监理人员的资格、阅历及经验等不得低于招标文件要求的监理人员资格、阅历及经验，且经业主方面试合格并经审批同意后方可办理更换。</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中标人应严格进行造价控制，对现场发生的设计变更及经济签证进行审核，提交计算</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书及审核成果并建立台账。过程中出现签证变更审核不严、未按规定流程及时间办理或高估冒</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算的，由此造成的相关单位损失由监理人承担。监理单位应无条件配合业主做好项目变更上</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会论证工作。</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000000" w:themeColor="text1"/>
          <w:sz w:val="24"/>
          <w14:textFill>
            <w14:solidFill>
              <w14:schemeClr w14:val="tx1"/>
            </w14:solidFill>
          </w14:textFill>
        </w:rPr>
        <w:t>11.</w:t>
      </w:r>
      <w:r>
        <w:rPr>
          <w:rFonts w:hint="eastAsia" w:asciiTheme="minorEastAsia" w:hAnsiTheme="minorEastAsia" w:eastAsiaTheme="minorEastAsia"/>
          <w:color w:val="000000" w:themeColor="text1"/>
          <w:sz w:val="24"/>
          <w14:textFill>
            <w14:solidFill>
              <w14:schemeClr w14:val="tx1"/>
            </w14:solidFill>
          </w14:textFill>
        </w:rPr>
        <w:t>监理人员需对承包单位农民工工资支付过程进行全面监督，因监理人员监管不力，造</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成农民工投诉上访，影响恶劣的，</w:t>
      </w:r>
      <w:r>
        <w:rPr>
          <w:rFonts w:hint="eastAsia"/>
          <w:bCs/>
          <w:snapToGrid w:val="0"/>
          <w:color w:val="auto"/>
          <w:kern w:val="0"/>
          <w:sz w:val="24"/>
          <w:szCs w:val="24"/>
        </w:rPr>
        <w:t>严格按照《保障农民工工资支付条例》（国令第724号）追责。</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12.</w:t>
      </w:r>
      <w:r>
        <w:rPr>
          <w:rFonts w:hint="eastAsia" w:asciiTheme="minorEastAsia" w:hAnsiTheme="minorEastAsia" w:eastAsiaTheme="minorEastAsia"/>
          <w:color w:val="000000" w:themeColor="text1"/>
          <w:sz w:val="24"/>
          <w14:textFill>
            <w14:solidFill>
              <w14:schemeClr w14:val="tx1"/>
            </w14:solidFill>
          </w14:textFill>
        </w:rPr>
        <w:t>经会议决议后统一布置的任务，监理单位必须认真实施。</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3、执行合肥市大建设“小业主、大监理”的管理模式，加强对监理单位的考核管理，中标人必须执行合肥市主管部门相关管理办法。</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投标人一旦中标后，如若发现任何欺瞒行为，招标人有权进行处罚并上报相关主管部门取消中标资格。</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供电工程或其他行业监理工程，中标人必须对行业监理单位工作给予配合，对其监理内容进行复核。</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三、投标单位人员配备要求</w:t>
      </w:r>
      <w:r>
        <w:rPr>
          <w:rFonts w:asciiTheme="minorEastAsia" w:hAnsiTheme="minorEastAsia" w:eastAsiaTheme="minorEastAsia"/>
          <w:b/>
          <w:bCs/>
          <w:color w:val="000000" w:themeColor="text1"/>
          <w:sz w:val="24"/>
          <w14:textFill>
            <w14:solidFill>
              <w14:schemeClr w14:val="tx1"/>
            </w14:solidFill>
          </w14:textFill>
        </w:rPr>
        <w:t>(</w:t>
      </w:r>
      <w:r>
        <w:rPr>
          <w:rFonts w:hint="eastAsia" w:asciiTheme="minorEastAsia" w:hAnsiTheme="minorEastAsia" w:eastAsiaTheme="minorEastAsia"/>
          <w:b/>
          <w:bCs/>
          <w:color w:val="000000" w:themeColor="text1"/>
          <w:sz w:val="24"/>
          <w14:textFill>
            <w14:solidFill>
              <w14:schemeClr w14:val="tx1"/>
            </w14:solidFill>
          </w14:textFill>
        </w:rPr>
        <w:t>不作为初审要求</w:t>
      </w:r>
      <w:r>
        <w:rPr>
          <w:rFonts w:asciiTheme="minorEastAsia" w:hAnsiTheme="minorEastAsia" w:eastAsiaTheme="minorEastAsia"/>
          <w:b/>
          <w:bCs/>
          <w:color w:val="000000" w:themeColor="text1"/>
          <w:sz w:val="24"/>
          <w14:textFill>
            <w14:solidFill>
              <w14:schemeClr w14:val="tx1"/>
            </w14:solidFill>
          </w14:textFill>
        </w:rPr>
        <w:t>)</w:t>
      </w:r>
    </w:p>
    <w:tbl>
      <w:tblPr>
        <w:tblStyle w:val="6"/>
        <w:tblW w:w="8639" w:type="dxa"/>
        <w:tblInd w:w="0" w:type="dxa"/>
        <w:tblLayout w:type="fixed"/>
        <w:tblCellMar>
          <w:top w:w="0" w:type="dxa"/>
          <w:left w:w="108" w:type="dxa"/>
          <w:bottom w:w="0" w:type="dxa"/>
          <w:right w:w="108" w:type="dxa"/>
        </w:tblCellMar>
      </w:tblPr>
      <w:tblGrid>
        <w:gridCol w:w="2518"/>
        <w:gridCol w:w="1843"/>
        <w:gridCol w:w="2718"/>
        <w:gridCol w:w="1560"/>
      </w:tblGrid>
      <w:tr>
        <w:tblPrEx>
          <w:tblCellMar>
            <w:top w:w="0" w:type="dxa"/>
            <w:left w:w="108" w:type="dxa"/>
            <w:bottom w:w="0" w:type="dxa"/>
            <w:right w:w="108" w:type="dxa"/>
          </w:tblCellMar>
        </w:tblPrEx>
        <w:tc>
          <w:tcPr>
            <w:tcW w:w="25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执业资格</w:t>
            </w: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专业</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岗位</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人员配额</w:t>
            </w:r>
          </w:p>
        </w:tc>
      </w:tr>
      <w:tr>
        <w:tblPrEx>
          <w:tblCellMar>
            <w:top w:w="0" w:type="dxa"/>
            <w:left w:w="108" w:type="dxa"/>
            <w:bottom w:w="0" w:type="dxa"/>
            <w:right w:w="108" w:type="dxa"/>
          </w:tblCellMar>
        </w:tblPrEx>
        <w:tc>
          <w:tcPr>
            <w:tcW w:w="25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注册监理工程师</w:t>
            </w: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房屋建筑</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总监理工程师</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1 </w:t>
            </w:r>
            <w:r>
              <w:rPr>
                <w:rFonts w:hint="eastAsia" w:asciiTheme="minorEastAsia" w:hAnsiTheme="minorEastAsia" w:eastAsiaTheme="minorEastAsia"/>
                <w:color w:val="000000" w:themeColor="text1"/>
                <w:sz w:val="24"/>
                <w14:textFill>
                  <w14:solidFill>
                    <w14:schemeClr w14:val="tx1"/>
                  </w14:solidFill>
                </w14:textFill>
              </w:rPr>
              <w:t>人</w:t>
            </w:r>
          </w:p>
        </w:tc>
      </w:tr>
      <w:tr>
        <w:tblPrEx>
          <w:tblCellMar>
            <w:top w:w="0" w:type="dxa"/>
            <w:left w:w="108" w:type="dxa"/>
            <w:bottom w:w="0" w:type="dxa"/>
            <w:right w:w="108" w:type="dxa"/>
          </w:tblCellMar>
        </w:tblPrEx>
        <w:tc>
          <w:tcPr>
            <w:tcW w:w="2518" w:type="dxa"/>
            <w:vMerge w:val="restart"/>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监理工程师</w:t>
            </w: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房屋建筑</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土建</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人</w:t>
            </w:r>
          </w:p>
        </w:tc>
      </w:tr>
      <w:tr>
        <w:tblPrEx>
          <w:tblCellMar>
            <w:top w:w="0" w:type="dxa"/>
            <w:left w:w="108" w:type="dxa"/>
            <w:bottom w:w="0" w:type="dxa"/>
            <w:right w:w="108" w:type="dxa"/>
          </w:tblCellMar>
        </w:tblPrEx>
        <w:tc>
          <w:tcPr>
            <w:tcW w:w="2518" w:type="dxa"/>
            <w:vMerge w:val="continue"/>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ind w:firstLine="480" w:firstLineChars="200"/>
              <w:jc w:val="center"/>
              <w:rPr>
                <w:rFonts w:asciiTheme="minorEastAsia" w:hAnsiTheme="minorEastAsia" w:eastAsiaTheme="minorEastAsia"/>
                <w:color w:val="000000" w:themeColor="text1"/>
                <w:sz w:val="24"/>
                <w14:textFill>
                  <w14:solidFill>
                    <w14:schemeClr w14:val="tx1"/>
                  </w14:solidFill>
                </w14:textFill>
              </w:rPr>
            </w:pP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机电安装</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安装</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人</w:t>
            </w:r>
          </w:p>
        </w:tc>
      </w:tr>
      <w:tr>
        <w:tblPrEx>
          <w:tblCellMar>
            <w:top w:w="0" w:type="dxa"/>
            <w:left w:w="108" w:type="dxa"/>
            <w:bottom w:w="0" w:type="dxa"/>
            <w:right w:w="108" w:type="dxa"/>
          </w:tblCellMar>
        </w:tblPrEx>
        <w:tc>
          <w:tcPr>
            <w:tcW w:w="2518" w:type="dxa"/>
            <w:vMerge w:val="continue"/>
            <w:tcBorders>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ind w:firstLine="480" w:firstLineChars="200"/>
              <w:jc w:val="center"/>
              <w:rPr>
                <w:rFonts w:asciiTheme="minorEastAsia" w:hAnsiTheme="minorEastAsia" w:eastAsiaTheme="minorEastAsia"/>
                <w:color w:val="000000" w:themeColor="text1"/>
                <w:sz w:val="24"/>
                <w14:textFill>
                  <w14:solidFill>
                    <w14:schemeClr w14:val="tx1"/>
                  </w14:solidFill>
                </w14:textFill>
              </w:rPr>
            </w:pPr>
          </w:p>
        </w:tc>
        <w:tc>
          <w:tcPr>
            <w:tcW w:w="1843"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p>
        </w:tc>
        <w:tc>
          <w:tcPr>
            <w:tcW w:w="2718"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资料员</w:t>
            </w:r>
          </w:p>
        </w:tc>
        <w:tc>
          <w:tcPr>
            <w:tcW w:w="1560" w:type="dxa"/>
            <w:tcBorders>
              <w:top w:val="single" w:color="000000" w:sz="8" w:space="0"/>
              <w:left w:val="single" w:color="000000" w:sz="8" w:space="0"/>
              <w:bottom w:val="single" w:color="000000" w:sz="8" w:space="0"/>
              <w:right w:val="single" w:color="000000" w:sz="8" w:space="0"/>
            </w:tcBorders>
            <w:tcMar>
              <w:top w:w="20" w:type="dxa"/>
              <w:left w:w="20" w:type="dxa"/>
              <w:bottom w:w="20" w:type="dxa"/>
              <w:right w:w="20"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人</w:t>
            </w:r>
          </w:p>
        </w:tc>
      </w:tr>
    </w:tbl>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人员配备通则</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表中所列监理人员配额为最低限度</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且在本工程服务期内，不能在其他工程项目上重复任职</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总监除外</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。投标时须提供总监相关证书扫描件，其余人员岗位资格和人员数量配备满足本表要求即可</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投标人在投标文件中可以列表或书面承诺等形式予以响应</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，具体人员名单中标后再行上报业主单位考核后确定。投标时无需提供除总监外的其他人员证件扫描件。如投标时，投标人自行提供了除总监以</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外的其他人员名单，且提供的人员执业资质及岗位等不符合上表要求的，按投标文件规定进行扣分。</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各类助理人员配额由监理单位根据招标文件要求及项目实际情况提供。</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安全岗位如配备国家级注册安全工程师，无须具备监理员或以上执业资格。</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以上岗位必须专岗专职，各岗位人员不得兼任，一名监理人员只能在一个岗位上工作。</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相近专业是指招标文件要求专业和投标文件配备专业之间为建设部、水利部、交通部等</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不同行业</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部门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定义的具备同一或类似功能的专业关系，或要求专业的功能涵盖在配备专业之</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中。例如</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建设部的市政公用工程与交通部的道路与桥梁工程、绿化</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要求专业</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与市政公用</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工程或环境工程</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配备专业</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均为相近专业。</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监理班子人员配备及岗位职责须满足《安徽省住房城乡建设厅关于进一步明确建设工程</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施工现场关键岗位人员配备标准和岗位职责的通知》</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建市〔</w:t>
      </w:r>
      <w:r>
        <w:rPr>
          <w:rFonts w:asciiTheme="minorEastAsia" w:hAnsiTheme="minorEastAsia" w:eastAsiaTheme="minorEastAsia"/>
          <w:color w:val="000000" w:themeColor="text1"/>
          <w:sz w:val="24"/>
          <w14:textFill>
            <w14:solidFill>
              <w14:schemeClr w14:val="tx1"/>
            </w14:solidFill>
          </w14:textFill>
        </w:rPr>
        <w:t>2014</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186 </w:t>
      </w:r>
      <w:r>
        <w:rPr>
          <w:rFonts w:hint="eastAsia" w:asciiTheme="minorEastAsia" w:hAnsiTheme="minorEastAsia" w:eastAsiaTheme="minorEastAsia"/>
          <w:color w:val="000000" w:themeColor="text1"/>
          <w:sz w:val="24"/>
          <w14:textFill>
            <w14:solidFill>
              <w14:schemeClr w14:val="tx1"/>
            </w14:solidFill>
          </w14:textFill>
        </w:rPr>
        <w:t>号</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的要求。</w:t>
      </w:r>
      <w:r>
        <w:rPr>
          <w:rFonts w:asciiTheme="minorEastAsia" w:hAnsiTheme="minorEastAsia" w:eastAsiaTheme="minorEastAsia"/>
          <w:color w:val="000000" w:themeColor="text1"/>
          <w:sz w:val="24"/>
          <w14:textFill>
            <w14:solidFill>
              <w14:schemeClr w14:val="tx1"/>
            </w14:solidFill>
          </w14:textFill>
        </w:rPr>
        <w:t xml:space="preserve"> </w:t>
      </w:r>
    </w:p>
    <w:p>
      <w:pPr>
        <w:spacing w:line="360" w:lineRule="auto"/>
        <w:ind w:firstLine="482" w:firstLineChars="200"/>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四、报价要求</w:t>
      </w:r>
      <w:r>
        <w:rPr>
          <w:rFonts w:asciiTheme="minorEastAsia" w:hAnsiTheme="minorEastAsia" w:eastAsiaTheme="minorEastAsia"/>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eastAsia="宋体" w:cs="宋体"/>
          <w:color w:val="auto"/>
          <w:sz w:val="24"/>
          <w:szCs w:val="24"/>
        </w:rPr>
      </w:pPr>
      <w:r>
        <w:rPr>
          <w:rFonts w:ascii="宋体" w:hAnsi="宋体" w:eastAsia="宋体" w:cs="宋体"/>
          <w:color w:val="auto"/>
          <w:sz w:val="24"/>
          <w:szCs w:val="24"/>
        </w:rPr>
        <w:t xml:space="preserve">本项目报价方式为费率报价, </w:t>
      </w:r>
      <w:r>
        <w:rPr>
          <w:rFonts w:hint="eastAsia" w:ascii="宋体" w:hAnsi="宋体" w:eastAsia="宋体" w:cs="宋体"/>
          <w:color w:val="auto"/>
          <w:sz w:val="24"/>
          <w:szCs w:val="24"/>
        </w:rPr>
        <w:t>投标人的报价应结合本项目的区域特点、自身综合实力、市场行情，自行以费率的方式进行报价，</w:t>
      </w:r>
      <w:r>
        <w:rPr>
          <w:rFonts w:hint="eastAsia" w:ascii="宋体" w:hAnsi="宋体" w:eastAsia="宋体" w:cs="宋体"/>
          <w:b/>
          <w:bCs/>
          <w:color w:val="auto"/>
          <w:sz w:val="24"/>
          <w:szCs w:val="24"/>
        </w:rPr>
        <w:t>但不得超过</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0%</w:t>
      </w:r>
      <w:r>
        <w:rPr>
          <w:rFonts w:hint="eastAsia" w:ascii="宋体" w:hAnsi="宋体" w:eastAsia="宋体" w:cs="宋体"/>
          <w:color w:val="auto"/>
          <w:sz w:val="24"/>
          <w:szCs w:val="24"/>
        </w:rPr>
        <w:t>，否则投标无效。该监理中标费率作为合同签订及结算的依据（监理费率精确至小数点后两位，如超过两位的直接舍去，如</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0.047%按</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 xml:space="preserve">0.04%计；若不足两位，末位默认为零，如 </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0.1%按</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0.10%计）。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（1）暂定合同价（暂定监理服务费）是以项目施工中标合同金额为计费额，参照《建设工程监理与相关服务收费管理规定》（发改价格[2007]670 号）计算得出的监理收费基价*中标费率；暂定合同价不超过项目概算。</w:t>
      </w:r>
    </w:p>
    <w:p>
      <w:pPr>
        <w:spacing w:line="360" w:lineRule="auto"/>
        <w:ind w:firstLine="480" w:firstLineChars="200"/>
        <w:rPr>
          <w:rFonts w:hint="eastAsia" w:eastAsia="宋体" w:asciiTheme="minorEastAsia" w:hAnsiTheme="minorEastAsia"/>
          <w:color w:val="auto"/>
          <w:sz w:val="24"/>
          <w:lang w:eastAsia="zh-CN"/>
        </w:rPr>
      </w:pPr>
      <w:r>
        <w:rPr>
          <w:rFonts w:hint="eastAsia" w:ascii="宋体" w:hAnsi="宋体" w:eastAsia="宋体" w:cs="宋体"/>
          <w:color w:val="auto"/>
          <w:sz w:val="24"/>
          <w:szCs w:val="24"/>
        </w:rPr>
        <w:t>（2）最终监理服务结算价是以项目施工决算审计价为计费额，参照文件《建设工程监理与相关服务收费管理规定》(发改价格〔2007〕670号)所对应的施工监理服务收费基准价*中标费率</w:t>
      </w:r>
      <w:r>
        <w:rPr>
          <w:rFonts w:hint="eastAsia" w:ascii="宋体" w:hAnsi="宋体" w:cs="宋体"/>
          <w:color w:val="auto"/>
          <w:sz w:val="24"/>
          <w:szCs w:val="24"/>
          <w:lang w:eastAsia="zh-CN"/>
        </w:rPr>
        <w:t>。</w:t>
      </w:r>
    </w:p>
    <w:p>
      <w:pPr>
        <w:spacing w:line="360" w:lineRule="auto"/>
        <w:ind w:firstLine="480" w:firstLineChars="200"/>
        <w:rPr>
          <w:rFonts w:ascii="宋体" w:hAnsi="宋体"/>
          <w:b/>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各投标单位在商务报价中，需详细测算报价组成的合理性。测算内容应包括所有税金，人员工资组成，投入各类设施设备等涉及工程监理过程中所需的所有费用</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评审组需对上述报价进行评审，如认为投标报价存在不合理，将导致投标无效</w:t>
      </w:r>
      <w:bookmarkStart w:id="0" w:name="_GoBack"/>
      <w:bookmarkEnd w:id="0"/>
      <w:r>
        <w:rPr>
          <w:rFonts w:hint="eastAsia" w:asciiTheme="minorEastAsia" w:hAnsiTheme="minorEastAsia" w:eastAsiaTheme="minorEastAsia"/>
          <w:color w:val="000000" w:themeColor="text1"/>
          <w:sz w:val="24"/>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B3C02"/>
    <w:multiLevelType w:val="singleLevel"/>
    <w:tmpl w:val="0C3B3C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TQ1ZDcyNGYwNWVlMDU5NjQ2MzdhMGQ4M2I4OWMifQ=="/>
  </w:docVars>
  <w:rsids>
    <w:rsidRoot w:val="00BC56FA"/>
    <w:rsid w:val="00017312"/>
    <w:rsid w:val="00157A5F"/>
    <w:rsid w:val="00225677"/>
    <w:rsid w:val="002C0106"/>
    <w:rsid w:val="00317593"/>
    <w:rsid w:val="00360CE3"/>
    <w:rsid w:val="00396601"/>
    <w:rsid w:val="00450D6A"/>
    <w:rsid w:val="005579CD"/>
    <w:rsid w:val="00681827"/>
    <w:rsid w:val="006F3978"/>
    <w:rsid w:val="007363B1"/>
    <w:rsid w:val="007740A5"/>
    <w:rsid w:val="008B3288"/>
    <w:rsid w:val="009B1E51"/>
    <w:rsid w:val="00B518DA"/>
    <w:rsid w:val="00BC56FA"/>
    <w:rsid w:val="00C568E9"/>
    <w:rsid w:val="00EC5009"/>
    <w:rsid w:val="00F03954"/>
    <w:rsid w:val="00F81BC2"/>
    <w:rsid w:val="0DA62482"/>
    <w:rsid w:val="14761AB0"/>
    <w:rsid w:val="15676738"/>
    <w:rsid w:val="1AAC45EB"/>
    <w:rsid w:val="1B6D0B56"/>
    <w:rsid w:val="239A49DE"/>
    <w:rsid w:val="245C67FB"/>
    <w:rsid w:val="2F506FAE"/>
    <w:rsid w:val="46AC4C7D"/>
    <w:rsid w:val="488D095E"/>
    <w:rsid w:val="4B0D771A"/>
    <w:rsid w:val="4C3B72FB"/>
    <w:rsid w:val="4DDE6B98"/>
    <w:rsid w:val="52CD3A73"/>
    <w:rsid w:val="533505F7"/>
    <w:rsid w:val="54595953"/>
    <w:rsid w:val="573B211D"/>
    <w:rsid w:val="65272D82"/>
    <w:rsid w:val="66D642DA"/>
    <w:rsid w:val="687A681D"/>
    <w:rsid w:val="6A3B0199"/>
    <w:rsid w:val="7AAD0AB9"/>
    <w:rsid w:val="7D1C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rPr>
  </w:style>
  <w:style w:type="paragraph" w:styleId="3">
    <w:name w:val="envelope return"/>
    <w:basedOn w:val="1"/>
    <w:qFormat/>
    <w:uiPriority w:val="0"/>
    <w:pPr>
      <w:snapToGrid w:val="0"/>
    </w:pPr>
    <w:rPr>
      <w:rFonts w:ascii="Arial" w:hAnsi="Arial"/>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99"/>
    <w:pPr>
      <w:widowControl/>
      <w:spacing w:before="100" w:beforeAutospacing="1" w:after="100" w:afterAutospacing="1"/>
      <w:jc w:val="center"/>
    </w:pPr>
    <w:rPr>
      <w:b/>
      <w:bCs/>
      <w:kern w:val="0"/>
      <w:sz w:val="28"/>
      <w:szCs w:val="28"/>
    </w:rPr>
  </w:style>
  <w:style w:type="paragraph" w:styleId="10">
    <w:name w:val="List Paragraph"/>
    <w:basedOn w:val="1"/>
    <w:qFormat/>
    <w:uiPriority w:val="34"/>
    <w:pPr>
      <w:ind w:firstLine="420" w:firstLineChars="200"/>
    </w:pPr>
  </w:style>
  <w:style w:type="character" w:customStyle="1" w:styleId="11">
    <w:name w:val="页脚 字符"/>
    <w:basedOn w:val="7"/>
    <w:link w:val="4"/>
    <w:qFormat/>
    <w:uiPriority w:val="0"/>
    <w:rPr>
      <w:rFonts w:ascii="@仿宋_GB2312" w:hAnsi="@仿宋_GB2312" w:eastAsia="宋体"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3004</Words>
  <Characters>3087</Characters>
  <Lines>20</Lines>
  <Paragraphs>5</Paragraphs>
  <TotalTime>12</TotalTime>
  <ScaleCrop>false</ScaleCrop>
  <LinksUpToDate>false</LinksUpToDate>
  <CharactersWithSpaces>3132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2023-03-31T02:50:00Z</dcterms:created>
  <dc:creator>Administrator</dc:creator>
  <cp:lastModifiedBy>pc</cp:lastModifiedBy>
  <cp:lastPrinted>2023-04-04T06:56:00Z</cp:lastPrinted>
  <dcterms:modified xsi:type="dcterms:W3CDTF">2023-04-10T00:13:23Z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503103F4A7E64830813F476D46EE0DA8</vt:lpwstr>
  </property>
</Properties>
</file>